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98" w:rsidRPr="00C72E4F" w:rsidRDefault="00C72E4F">
      <w:pPr>
        <w:rPr>
          <w:b/>
        </w:rPr>
      </w:pPr>
      <w:r>
        <w:rPr>
          <w:b/>
        </w:rPr>
        <w:t>Exercise 3: Summary- Chapters 11-16</w:t>
      </w:r>
    </w:p>
    <w:p w:rsidR="00611696" w:rsidRDefault="00611696">
      <w:r>
        <w:t>Instructions:</w:t>
      </w:r>
    </w:p>
    <w:p w:rsidR="00611696" w:rsidRDefault="00611696" w:rsidP="00611696">
      <w:pPr>
        <w:pStyle w:val="ListParagraph"/>
        <w:numPr>
          <w:ilvl w:val="0"/>
          <w:numId w:val="1"/>
        </w:numPr>
      </w:pPr>
      <w:r>
        <w:t>Complete your summaries for chapters 12 to 16 in the tables provided</w:t>
      </w:r>
    </w:p>
    <w:p w:rsidR="00611696" w:rsidRDefault="00611696" w:rsidP="00611696">
      <w:pPr>
        <w:pStyle w:val="ListParagraph"/>
        <w:numPr>
          <w:ilvl w:val="0"/>
          <w:numId w:val="1"/>
        </w:numPr>
      </w:pPr>
      <w:r>
        <w:t>Chapter 11 has been done for you as an example.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790"/>
        <w:gridCol w:w="7128"/>
      </w:tblGrid>
      <w:tr w:rsidR="00611696" w:rsidTr="00763DC5">
        <w:tc>
          <w:tcPr>
            <w:tcW w:w="2790" w:type="dxa"/>
            <w:shd w:val="clear" w:color="auto" w:fill="BFBFBF" w:themeFill="background1" w:themeFillShade="BF"/>
          </w:tcPr>
          <w:p w:rsidR="00611696" w:rsidRPr="00C72E4F" w:rsidRDefault="00611696" w:rsidP="00C72E4F">
            <w:pPr>
              <w:jc w:val="center"/>
              <w:rPr>
                <w:sz w:val="28"/>
                <w:szCs w:val="28"/>
              </w:rPr>
            </w:pPr>
            <w:r w:rsidRPr="00C72E4F">
              <w:rPr>
                <w:sz w:val="28"/>
                <w:szCs w:val="28"/>
              </w:rPr>
              <w:t>Chapter</w:t>
            </w:r>
          </w:p>
          <w:p w:rsidR="00C72E4F" w:rsidRPr="00C72E4F" w:rsidRDefault="00C72E4F" w:rsidP="00C72E4F">
            <w:pPr>
              <w:jc w:val="center"/>
              <w:rPr>
                <w:sz w:val="28"/>
                <w:szCs w:val="28"/>
              </w:rPr>
            </w:pPr>
          </w:p>
          <w:p w:rsidR="00C72E4F" w:rsidRPr="00C72E4F" w:rsidRDefault="00C72E4F" w:rsidP="00C7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8" w:type="dxa"/>
            <w:shd w:val="clear" w:color="auto" w:fill="BFBFBF" w:themeFill="background1" w:themeFillShade="BF"/>
          </w:tcPr>
          <w:p w:rsidR="00611696" w:rsidRPr="00C72E4F" w:rsidRDefault="00611696" w:rsidP="00C72E4F">
            <w:pPr>
              <w:jc w:val="center"/>
              <w:rPr>
                <w:sz w:val="28"/>
                <w:szCs w:val="28"/>
              </w:rPr>
            </w:pPr>
            <w:r w:rsidRPr="00C72E4F">
              <w:rPr>
                <w:sz w:val="28"/>
                <w:szCs w:val="28"/>
              </w:rPr>
              <w:t>Summary in your own words</w:t>
            </w:r>
          </w:p>
        </w:tc>
      </w:tr>
      <w:tr w:rsidR="00611696" w:rsidTr="00763DC5">
        <w:tc>
          <w:tcPr>
            <w:tcW w:w="2790" w:type="dxa"/>
          </w:tcPr>
          <w:p w:rsidR="00611696" w:rsidRPr="00763DC5" w:rsidRDefault="00611696" w:rsidP="00C72E4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1E1D1D"/>
                <w:sz w:val="18"/>
                <w:szCs w:val="18"/>
              </w:rPr>
            </w:pPr>
            <w:r w:rsidRPr="00763DC5">
              <w:rPr>
                <w:rFonts w:asciiTheme="minorHAnsi" w:hAnsiTheme="minorHAnsi"/>
                <w:sz w:val="18"/>
                <w:szCs w:val="18"/>
              </w:rPr>
              <w:t xml:space="preserve">11- </w:t>
            </w:r>
            <w:hyperlink r:id="rId6" w:history="1">
              <w:r w:rsidRPr="00763DC5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The Road</w:t>
              </w:r>
            </w:hyperlink>
            <w:r w:rsidRPr="00763DC5">
              <w:rPr>
                <w:rFonts w:asciiTheme="minorHAnsi" w:hAnsiTheme="minorHAnsi"/>
                <w:sz w:val="18"/>
                <w:szCs w:val="18"/>
              </w:rPr>
              <w:t> to Posen</w:t>
            </w:r>
          </w:p>
          <w:p w:rsidR="00611696" w:rsidRPr="00763DC5" w:rsidRDefault="00611696" w:rsidP="00C7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8" w:type="dxa"/>
          </w:tcPr>
          <w:p w:rsidR="00611696" w:rsidRPr="00763DC5" w:rsidRDefault="00611696" w:rsidP="00611696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/>
                <w:color w:val="1E1D1D"/>
                <w:sz w:val="18"/>
                <w:szCs w:val="18"/>
              </w:rPr>
            </w:pPr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 xml:space="preserve">It is a bright, spring day when the children set out for Posen. They only carry food for a day, blankets, the box, the sword, and </w:t>
            </w:r>
            <w:proofErr w:type="spellStart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>Jimpy</w:t>
            </w:r>
            <w:proofErr w:type="spellEnd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>. They follow another traveling family and turn onto the main road. All the refugees look dazed and haggard. Ruth feels pity, but is determined to find her family.</w:t>
            </w:r>
          </w:p>
          <w:p w:rsidR="00611696" w:rsidRPr="00763DC5" w:rsidRDefault="00611696" w:rsidP="00611696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/>
                <w:color w:val="1E1D1D"/>
                <w:sz w:val="18"/>
                <w:szCs w:val="18"/>
              </w:rPr>
            </w:pPr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 xml:space="preserve">A lorry gives them a lift in the afternoon. They travel through the countryside and rest in a farm building that night. It is hard to find lorries from that point on, and the children and </w:t>
            </w:r>
            <w:proofErr w:type="spellStart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>Jimpy</w:t>
            </w:r>
            <w:proofErr w:type="spellEnd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 xml:space="preserve"> are suffering.</w:t>
            </w:r>
          </w:p>
          <w:p w:rsidR="00611696" w:rsidRPr="00763DC5" w:rsidRDefault="00611696" w:rsidP="00611696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/>
                <w:color w:val="1E1D1D"/>
                <w:sz w:val="18"/>
                <w:szCs w:val="18"/>
              </w:rPr>
            </w:pPr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 xml:space="preserve">When they reach a Russian-held control post, Ruth gives the secretary a paper with the records about </w:t>
            </w:r>
            <w:proofErr w:type="spellStart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>Edek</w:t>
            </w:r>
            <w:proofErr w:type="spellEnd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 xml:space="preserve">, but the woman can’t find anything. Another man overhears and says he sent </w:t>
            </w:r>
            <w:proofErr w:type="spellStart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>Edek</w:t>
            </w:r>
            <w:proofErr w:type="spellEnd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 xml:space="preserve"> to the </w:t>
            </w:r>
            <w:proofErr w:type="spellStart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>Warthe</w:t>
            </w:r>
            <w:proofErr w:type="spellEnd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 xml:space="preserve"> camp with the other T.B. cases. Even though everyone is tired, Ruth presses them on.</w:t>
            </w:r>
          </w:p>
          <w:p w:rsidR="00611696" w:rsidRPr="00763DC5" w:rsidRDefault="00611696" w:rsidP="00611696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/>
                <w:color w:val="1E1D1D"/>
                <w:sz w:val="18"/>
                <w:szCs w:val="18"/>
              </w:rPr>
            </w:pPr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 xml:space="preserve">The camp is a mile or so down the road. They arrive at a gloomy, dim building. A man tells them he remembers </w:t>
            </w:r>
            <w:proofErr w:type="spellStart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>Edek</w:t>
            </w:r>
            <w:proofErr w:type="spellEnd"/>
            <w:r w:rsidRPr="00763DC5">
              <w:rPr>
                <w:rFonts w:asciiTheme="minorHAnsi" w:hAnsiTheme="minorHAnsi"/>
                <w:color w:val="1E1D1D"/>
                <w:sz w:val="18"/>
                <w:szCs w:val="18"/>
              </w:rPr>
              <w:t xml:space="preserve"> well, because he was a wild boy and ran away just that morning.</w:t>
            </w:r>
          </w:p>
        </w:tc>
      </w:tr>
      <w:tr w:rsidR="00611696" w:rsidTr="00763DC5">
        <w:tc>
          <w:tcPr>
            <w:tcW w:w="2790" w:type="dxa"/>
          </w:tcPr>
          <w:p w:rsidR="00611696" w:rsidRPr="00C72E4F" w:rsidRDefault="00611696" w:rsidP="00C7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2E4F" w:rsidRPr="00C72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E4F" w:rsidRPr="00C72E4F">
              <w:rPr>
                <w:rFonts w:ascii="Times New Roman" w:hAnsi="Times New Roman" w:cs="Times New Roman"/>
                <w:color w:val="1E1D1D"/>
                <w:sz w:val="24"/>
                <w:szCs w:val="24"/>
                <w:shd w:val="clear" w:color="auto" w:fill="FFFFFF"/>
              </w:rPr>
              <w:t>The Hand</w:t>
            </w:r>
          </w:p>
        </w:tc>
        <w:tc>
          <w:tcPr>
            <w:tcW w:w="7128" w:type="dxa"/>
          </w:tcPr>
          <w:p w:rsidR="00611696" w:rsidRDefault="00611696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>
            <w:bookmarkStart w:id="0" w:name="_GoBack"/>
            <w:bookmarkEnd w:id="0"/>
          </w:p>
          <w:p w:rsidR="00C72E4F" w:rsidRDefault="00C72E4F" w:rsidP="00611696"/>
        </w:tc>
      </w:tr>
      <w:tr w:rsidR="00611696" w:rsidTr="00763DC5">
        <w:tc>
          <w:tcPr>
            <w:tcW w:w="2790" w:type="dxa"/>
          </w:tcPr>
          <w:p w:rsidR="00611696" w:rsidRPr="00C72E4F" w:rsidRDefault="00611696" w:rsidP="00C7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2E4F" w:rsidRPr="00C72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E4F">
              <w:rPr>
                <w:rFonts w:ascii="Times New Roman" w:hAnsi="Times New Roman" w:cs="Times New Roman"/>
                <w:sz w:val="24"/>
                <w:szCs w:val="24"/>
              </w:rPr>
              <w:t>Frozen Journey</w:t>
            </w:r>
          </w:p>
        </w:tc>
        <w:tc>
          <w:tcPr>
            <w:tcW w:w="7128" w:type="dxa"/>
          </w:tcPr>
          <w:p w:rsidR="00611696" w:rsidRDefault="00611696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</w:tc>
      </w:tr>
      <w:tr w:rsidR="00611696" w:rsidTr="00763DC5">
        <w:tc>
          <w:tcPr>
            <w:tcW w:w="2790" w:type="dxa"/>
          </w:tcPr>
          <w:p w:rsidR="00611696" w:rsidRPr="00C72E4F" w:rsidRDefault="00611696" w:rsidP="00C7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72E4F">
              <w:rPr>
                <w:rFonts w:ascii="Times New Roman" w:hAnsi="Times New Roman" w:cs="Times New Roman"/>
                <w:sz w:val="24"/>
                <w:szCs w:val="24"/>
              </w:rPr>
              <w:t>-City of the Lost</w:t>
            </w:r>
          </w:p>
        </w:tc>
        <w:tc>
          <w:tcPr>
            <w:tcW w:w="7128" w:type="dxa"/>
          </w:tcPr>
          <w:p w:rsidR="00611696" w:rsidRDefault="00611696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</w:tc>
      </w:tr>
      <w:tr w:rsidR="00611696" w:rsidTr="00763DC5">
        <w:tc>
          <w:tcPr>
            <w:tcW w:w="2790" w:type="dxa"/>
          </w:tcPr>
          <w:p w:rsidR="00611696" w:rsidRPr="00C72E4F" w:rsidRDefault="00611696" w:rsidP="00C7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2E4F">
              <w:rPr>
                <w:rFonts w:ascii="Times New Roman" w:hAnsi="Times New Roman" w:cs="Times New Roman"/>
                <w:sz w:val="24"/>
                <w:szCs w:val="24"/>
              </w:rPr>
              <w:t>-Jan finds a New Pal</w:t>
            </w:r>
          </w:p>
        </w:tc>
        <w:tc>
          <w:tcPr>
            <w:tcW w:w="7128" w:type="dxa"/>
          </w:tcPr>
          <w:p w:rsidR="00611696" w:rsidRDefault="00611696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</w:tc>
      </w:tr>
      <w:tr w:rsidR="00611696" w:rsidTr="00763DC5">
        <w:tc>
          <w:tcPr>
            <w:tcW w:w="2790" w:type="dxa"/>
          </w:tcPr>
          <w:p w:rsidR="00611696" w:rsidRPr="00C72E4F" w:rsidRDefault="00611696" w:rsidP="00C7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2E4F">
              <w:rPr>
                <w:rFonts w:ascii="Times New Roman" w:hAnsi="Times New Roman" w:cs="Times New Roman"/>
                <w:sz w:val="24"/>
                <w:szCs w:val="24"/>
              </w:rPr>
              <w:t>-Through the Russian Zone</w:t>
            </w:r>
          </w:p>
        </w:tc>
        <w:tc>
          <w:tcPr>
            <w:tcW w:w="7128" w:type="dxa"/>
          </w:tcPr>
          <w:p w:rsidR="00611696" w:rsidRDefault="00611696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  <w:p w:rsidR="00C72E4F" w:rsidRDefault="00C72E4F" w:rsidP="00611696"/>
        </w:tc>
      </w:tr>
    </w:tbl>
    <w:p w:rsidR="00611696" w:rsidRDefault="00611696" w:rsidP="00611696"/>
    <w:sectPr w:rsidR="0061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62D"/>
    <w:multiLevelType w:val="hybridMultilevel"/>
    <w:tmpl w:val="5C28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6"/>
    <w:rsid w:val="00611696"/>
    <w:rsid w:val="00763DC5"/>
    <w:rsid w:val="009616E0"/>
    <w:rsid w:val="00C72E4F"/>
    <w:rsid w:val="00C7544F"/>
    <w:rsid w:val="00D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96"/>
    <w:pPr>
      <w:ind w:left="720"/>
      <w:contextualSpacing/>
    </w:pPr>
  </w:style>
  <w:style w:type="table" w:styleId="TableGrid">
    <w:name w:val="Table Grid"/>
    <w:basedOn w:val="TableNormal"/>
    <w:uiPriority w:val="59"/>
    <w:rsid w:val="0061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96"/>
    <w:pPr>
      <w:ind w:left="720"/>
      <w:contextualSpacing/>
    </w:pPr>
  </w:style>
  <w:style w:type="table" w:styleId="TableGrid">
    <w:name w:val="Table Grid"/>
    <w:basedOn w:val="TableNormal"/>
    <w:uiPriority w:val="59"/>
    <w:rsid w:val="0061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esaver.com/the-r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Espeline Banga</dc:creator>
  <cp:lastModifiedBy>Espeline Banga</cp:lastModifiedBy>
  <cp:revision>3</cp:revision>
  <dcterms:created xsi:type="dcterms:W3CDTF">2020-03-26T23:19:00Z</dcterms:created>
  <dcterms:modified xsi:type="dcterms:W3CDTF">2020-03-26T23:22:00Z</dcterms:modified>
</cp:coreProperties>
</file>